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20</w:t>
      </w:r>
      <w:r>
        <w:rPr>
          <w:rFonts w:hint="eastAsia" w:eastAsia="方正小标宋_GBK"/>
          <w:bCs/>
          <w:kern w:val="0"/>
          <w:sz w:val="44"/>
          <w:szCs w:val="44"/>
        </w:rPr>
        <w:t>21</w:t>
      </w:r>
      <w:r>
        <w:rPr>
          <w:rFonts w:eastAsia="方正小标宋_GBK"/>
          <w:bCs/>
          <w:kern w:val="0"/>
          <w:sz w:val="44"/>
          <w:szCs w:val="44"/>
        </w:rPr>
        <w:t>年</w:t>
      </w:r>
      <w:r>
        <w:rPr>
          <w:rFonts w:hint="eastAsia" w:ascii="方正小标宋_GBK" w:eastAsia="方正小标宋_GBK"/>
          <w:bCs/>
          <w:kern w:val="0"/>
          <w:sz w:val="44"/>
          <w:szCs w:val="44"/>
        </w:rPr>
        <w:t>桃源县人民检察院</w:t>
      </w:r>
      <w:r>
        <w:rPr>
          <w:rFonts w:eastAsia="方正小标宋_GBK"/>
          <w:bCs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ascii="楷体_GB2312"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2" w:firstLineChars="200"/>
        <w:rPr>
          <w:rFonts w:ascii="方正小标宋_GBK"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hint="eastAsia" w:ascii="方正小标宋_GBK" w:eastAsia="方正小标宋_GBK"/>
          <w:bCs/>
          <w:kern w:val="0"/>
          <w:sz w:val="32"/>
          <w:szCs w:val="32"/>
        </w:rPr>
        <w:t>2</w:t>
      </w:r>
      <w:r>
        <w:rPr>
          <w:rFonts w:hint="eastAsia"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42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第二部分 </w:t>
      </w:r>
      <w:r>
        <w:rPr>
          <w:rFonts w:hint="eastAsia" w:eastAsia="仿宋_GB2312"/>
          <w:b/>
          <w:bCs/>
          <w:kern w:val="0"/>
          <w:sz w:val="32"/>
          <w:szCs w:val="32"/>
        </w:rPr>
        <w:t>2021</w:t>
      </w:r>
      <w:r>
        <w:rPr>
          <w:rFonts w:eastAsia="仿宋_GB2312"/>
          <w:b/>
          <w:bCs/>
          <w:kern w:val="0"/>
          <w:sz w:val="32"/>
          <w:szCs w:val="32"/>
        </w:rPr>
        <w:t>年部门预算表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</w:t>
      </w:r>
      <w:r>
        <w:rPr>
          <w:rFonts w:hint="eastAsia" w:eastAsia="仿宋_GB2312"/>
          <w:sz w:val="32"/>
          <w:szCs w:val="32"/>
        </w:rPr>
        <w:t>支出预算分类汇总表</w:t>
      </w:r>
      <w:r>
        <w:rPr>
          <w:rFonts w:eastAsia="仿宋_GB2312"/>
          <w:sz w:val="32"/>
          <w:szCs w:val="32"/>
        </w:rPr>
        <w:t>（按</w:t>
      </w:r>
      <w:r>
        <w:rPr>
          <w:rFonts w:hint="eastAsia" w:eastAsia="仿宋_GB2312"/>
          <w:sz w:val="32"/>
          <w:szCs w:val="32"/>
        </w:rPr>
        <w:t>政府</w:t>
      </w:r>
      <w:r>
        <w:rPr>
          <w:rFonts w:eastAsia="仿宋_GB2312"/>
          <w:sz w:val="32"/>
          <w:szCs w:val="32"/>
        </w:rPr>
        <w:t>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</w:t>
      </w:r>
      <w:r>
        <w:rPr>
          <w:rFonts w:hint="eastAsia" w:eastAsia="仿宋_GB2312"/>
          <w:sz w:val="32"/>
          <w:szCs w:val="32"/>
        </w:rPr>
        <w:t>预算分类汇总</w:t>
      </w:r>
      <w:r>
        <w:rPr>
          <w:rFonts w:eastAsia="仿宋_GB2312"/>
          <w:sz w:val="32"/>
          <w:szCs w:val="32"/>
        </w:rPr>
        <w:t>表（按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</w:t>
      </w:r>
      <w:r>
        <w:rPr>
          <w:rFonts w:hint="eastAsia" w:eastAsia="仿宋_GB2312"/>
          <w:sz w:val="32"/>
          <w:szCs w:val="32"/>
        </w:rPr>
        <w:t>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</w:t>
      </w:r>
      <w:r>
        <w:rPr>
          <w:rFonts w:hint="eastAsia" w:eastAsia="仿宋_GB2312"/>
          <w:sz w:val="32"/>
          <w:szCs w:val="32"/>
        </w:rPr>
        <w:t>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</w:t>
      </w:r>
      <w:r>
        <w:rPr>
          <w:rFonts w:hint="eastAsia" w:eastAsia="仿宋_GB2312"/>
          <w:sz w:val="32"/>
          <w:szCs w:val="32"/>
        </w:rPr>
        <w:t>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12、一般公共预算基本支出表-公用经费（</w:t>
      </w:r>
      <w:r>
        <w:rPr>
          <w:rFonts w:eastAsia="仿宋_GB2312"/>
          <w:sz w:val="32"/>
          <w:szCs w:val="32"/>
        </w:rPr>
        <w:t>商品和服务支出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（按</w:t>
      </w:r>
      <w:r>
        <w:rPr>
          <w:rFonts w:hint="eastAsia" w:eastAsia="仿宋_GB2312"/>
          <w:sz w:val="32"/>
          <w:szCs w:val="32"/>
        </w:rPr>
        <w:t>政府</w:t>
      </w:r>
      <w:r>
        <w:rPr>
          <w:rFonts w:eastAsia="仿宋_GB2312"/>
          <w:sz w:val="32"/>
          <w:szCs w:val="32"/>
        </w:rPr>
        <w:t>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一般公共预算基本支出表-公用经费（</w:t>
      </w:r>
      <w:r>
        <w:rPr>
          <w:rFonts w:eastAsia="仿宋_GB2312"/>
          <w:sz w:val="32"/>
          <w:szCs w:val="32"/>
        </w:rPr>
        <w:t>商品和服务支出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（按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600" w:lineRule="exact"/>
        <w:rPr>
          <w:rFonts w:ascii="宋体" w:hAnsi="宋体"/>
          <w:b/>
          <w:sz w:val="44"/>
          <w:szCs w:val="44"/>
        </w:rPr>
      </w:pPr>
    </w:p>
    <w:p>
      <w:pPr>
        <w:widowControl/>
        <w:spacing w:line="600" w:lineRule="exact"/>
        <w:jc w:val="center"/>
        <w:rPr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第一部分 </w:t>
      </w:r>
      <w:r>
        <w:rPr>
          <w:rFonts w:hint="eastAsia"/>
          <w:b/>
          <w:bCs/>
          <w:kern w:val="0"/>
          <w:sz w:val="44"/>
          <w:szCs w:val="44"/>
        </w:rPr>
        <w:t>2021</w:t>
      </w:r>
      <w:r>
        <w:rPr>
          <w:b/>
          <w:bCs/>
          <w:kern w:val="0"/>
          <w:sz w:val="44"/>
          <w:szCs w:val="44"/>
        </w:rPr>
        <w:t>年部门预算说明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>
      <w:pPr>
        <w:ind w:firstLine="629" w:firstLineChars="196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（一）职能职责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 xml:space="preserve"> 依照法律规定对有关刑事案件行使侦查权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 xml:space="preserve"> 对刑事案件进行审查，批准或者决定逮捕犯罪嫌疑人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 xml:space="preserve"> 对刑事案件进行审查，决定是否提起公诉，对决定提起公诉的案件支持公诉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 xml:space="preserve"> 依照法律规定提起公益诉讼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 xml:space="preserve"> 对诉讼活动实行法律监督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 xml:space="preserve"> 对判决、裁定等生效法律文书的执行工作实行法律监督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 xml:space="preserve"> 对监狱、看守所的执法活动实行法律监督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 xml:space="preserve"> 法律规定的其他职权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29" w:firstLineChars="19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（二）机构设置</w:t>
      </w:r>
    </w:p>
    <w:p>
      <w:pPr>
        <w:pStyle w:val="39"/>
        <w:widowControl/>
        <w:snapToGrid w:val="0"/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本单位设置8个内设机构，分别为：办公室、政治部、第一检察部、第二检察部、第三检察部、第四检察部、第五检察部、第六检察部</w:t>
      </w:r>
      <w:r>
        <w:rPr>
          <w:rFonts w:ascii="仿宋_GB2312" w:hAnsi="仿宋_GB2312" w:eastAsia="仿宋_GB2312" w:cs="仿宋_GB2312"/>
          <w:sz w:val="32"/>
        </w:rPr>
        <w:t>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桃源县人民检察院只有本级，无其他预算单位，因此本预算仅含本级预算。</w:t>
      </w:r>
    </w:p>
    <w:p>
      <w:pPr>
        <w:widowControl/>
        <w:spacing w:line="600" w:lineRule="exact"/>
        <w:ind w:firstLine="627" w:firstLineChars="196"/>
        <w:rPr>
          <w:rFonts w:ascii="仿宋_GB2312" w:hAnsi="宋体" w:eastAsia="仿宋_GB2312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二</w:t>
      </w:r>
      <w:r>
        <w:rPr>
          <w:rFonts w:eastAsia="黑体"/>
          <w:bCs/>
          <w:kern w:val="0"/>
          <w:sz w:val="32"/>
          <w:szCs w:val="32"/>
        </w:rPr>
        <w:t>、部门收支总体情况</w:t>
      </w:r>
    </w:p>
    <w:p>
      <w:pPr>
        <w:rPr>
          <w:rFonts w:ascii="宋体" w:hAnsi="宋体" w:eastAsia="仿宋_GB2312" w:cs="宋体"/>
          <w:b/>
          <w:bCs/>
          <w:sz w:val="20"/>
          <w:szCs w:val="20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bCs/>
          <w:sz w:val="32"/>
          <w:szCs w:val="32"/>
        </w:rPr>
        <w:t>（一）收入预算：</w:t>
      </w:r>
      <w:r>
        <w:rPr>
          <w:rFonts w:hint="eastAsia" w:ascii="仿宋_GB2312" w:eastAsia="仿宋_GB2312"/>
          <w:sz w:val="32"/>
          <w:szCs w:val="32"/>
        </w:rPr>
        <w:t>包括一般公共预算、中央财政补助和上年结转结余。2021年本单位收入预算</w:t>
      </w:r>
      <w:r>
        <w:rPr>
          <w:rFonts w:ascii="仿宋_GB2312" w:eastAsia="仿宋_GB2312"/>
          <w:sz w:val="32"/>
          <w:szCs w:val="32"/>
        </w:rPr>
        <w:t>2579.87</w:t>
      </w:r>
      <w:r>
        <w:rPr>
          <w:rFonts w:hint="eastAsia" w:ascii="仿宋_GB2312" w:eastAsia="仿宋_GB2312"/>
          <w:sz w:val="32"/>
          <w:szCs w:val="32"/>
        </w:rPr>
        <w:t>万元，其中，一般公共预算拨款</w:t>
      </w:r>
      <w:r>
        <w:rPr>
          <w:rFonts w:ascii="仿宋_GB2312" w:eastAsia="仿宋_GB2312"/>
          <w:sz w:val="32"/>
          <w:szCs w:val="32"/>
        </w:rPr>
        <w:t>1132.47</w:t>
      </w:r>
      <w:r>
        <w:rPr>
          <w:rFonts w:hint="eastAsia" w:ascii="仿宋_GB2312" w:eastAsia="仿宋_GB2312"/>
          <w:sz w:val="32"/>
          <w:szCs w:val="32"/>
        </w:rPr>
        <w:t>万元，中央财政补助</w:t>
      </w:r>
      <w:r>
        <w:rPr>
          <w:rFonts w:ascii="仿宋_GB2312" w:eastAsia="仿宋_GB2312"/>
          <w:sz w:val="32"/>
          <w:szCs w:val="32"/>
        </w:rPr>
        <w:t>379</w:t>
      </w:r>
      <w:r>
        <w:rPr>
          <w:rFonts w:hint="eastAsia" w:ascii="仿宋_GB2312" w:eastAsia="仿宋_GB2312"/>
          <w:sz w:val="32"/>
          <w:szCs w:val="32"/>
        </w:rPr>
        <w:t>万元，无政府性基金、国有资本经营预算拨款和纳入专户管理的非税收入，上年结余结转</w:t>
      </w:r>
      <w:r>
        <w:rPr>
          <w:rFonts w:ascii="仿宋_GB2312" w:eastAsia="仿宋_GB2312"/>
          <w:sz w:val="32"/>
          <w:szCs w:val="32"/>
        </w:rPr>
        <w:t>1068.4</w:t>
      </w:r>
      <w:r>
        <w:rPr>
          <w:rFonts w:hint="eastAsia" w:ascii="仿宋_GB2312" w:eastAsia="仿宋_GB2312"/>
          <w:sz w:val="32"/>
          <w:szCs w:val="32"/>
        </w:rPr>
        <w:t>万元。收入较去年增加</w:t>
      </w:r>
      <w:r>
        <w:rPr>
          <w:rFonts w:ascii="仿宋_GB2312" w:eastAsia="仿宋_GB2312"/>
          <w:sz w:val="32"/>
          <w:szCs w:val="32"/>
        </w:rPr>
        <w:t>1097.6</w:t>
      </w:r>
      <w:r>
        <w:rPr>
          <w:rFonts w:hint="eastAsia" w:ascii="仿宋_GB2312" w:eastAsia="仿宋_GB2312"/>
          <w:sz w:val="32"/>
          <w:szCs w:val="32"/>
        </w:rPr>
        <w:t>万元，具体包括一般公共预算拨款增加11.2万元，中央财政补助增加18万元，上年结余结转增加</w:t>
      </w:r>
      <w:r>
        <w:rPr>
          <w:rFonts w:ascii="仿宋_GB2312" w:eastAsia="仿宋_GB2312"/>
          <w:sz w:val="32"/>
          <w:szCs w:val="32"/>
        </w:rPr>
        <w:t>1068.4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（二）支出预算：</w:t>
      </w:r>
      <w:r>
        <w:rPr>
          <w:rFonts w:hint="eastAsia" w:ascii="仿宋_GB2312" w:eastAsia="仿宋_GB2312"/>
          <w:sz w:val="32"/>
          <w:szCs w:val="32"/>
        </w:rPr>
        <w:t>2021年本单位支出预算</w:t>
      </w:r>
      <w:r>
        <w:rPr>
          <w:rFonts w:ascii="仿宋_GB2312" w:eastAsia="仿宋_GB2312"/>
          <w:sz w:val="32"/>
          <w:szCs w:val="32"/>
        </w:rPr>
        <w:t>2579.87</w:t>
      </w:r>
      <w:r>
        <w:rPr>
          <w:rFonts w:hint="eastAsia" w:ascii="仿宋_GB2312" w:eastAsia="仿宋_GB2312"/>
          <w:sz w:val="32"/>
          <w:szCs w:val="32"/>
        </w:rPr>
        <w:t>万元，其中，公共安全</w:t>
      </w:r>
      <w:r>
        <w:rPr>
          <w:rFonts w:ascii="仿宋_GB2312" w:eastAsia="仿宋_GB2312"/>
          <w:sz w:val="32"/>
          <w:szCs w:val="32"/>
        </w:rPr>
        <w:t>2329.51</w:t>
      </w:r>
      <w:r>
        <w:rPr>
          <w:rFonts w:hint="eastAsia" w:ascii="仿宋_GB2312" w:eastAsia="仿宋_GB2312"/>
          <w:sz w:val="32"/>
          <w:szCs w:val="32"/>
        </w:rPr>
        <w:t>万元，教育支出0万元，社会保障和就业支出</w:t>
      </w:r>
      <w:r>
        <w:rPr>
          <w:rFonts w:ascii="仿宋_GB2312" w:eastAsia="仿宋_GB2312"/>
          <w:sz w:val="32"/>
          <w:szCs w:val="32"/>
        </w:rPr>
        <w:t>72.72</w:t>
      </w:r>
      <w:r>
        <w:rPr>
          <w:rFonts w:hint="eastAsia" w:ascii="仿宋_GB2312" w:eastAsia="仿宋_GB2312"/>
          <w:sz w:val="32"/>
          <w:szCs w:val="32"/>
        </w:rPr>
        <w:t>万元，卫生</w:t>
      </w:r>
      <w:r>
        <w:rPr>
          <w:rFonts w:hint="eastAsia" w:ascii="仿宋_GB2312" w:hAnsi="宋体" w:eastAsia="仿宋_GB2312"/>
          <w:sz w:val="32"/>
          <w:szCs w:val="32"/>
        </w:rPr>
        <w:t>健康支出</w:t>
      </w:r>
      <w:r>
        <w:rPr>
          <w:rFonts w:ascii="仿宋_GB2312" w:hAnsi="宋体" w:eastAsia="仿宋_GB2312"/>
          <w:sz w:val="32"/>
          <w:szCs w:val="32"/>
        </w:rPr>
        <w:t>79.64</w:t>
      </w:r>
      <w:r>
        <w:rPr>
          <w:rFonts w:hint="eastAsia" w:ascii="仿宋_GB2312" w:hAnsi="宋体" w:eastAsia="仿宋_GB2312"/>
          <w:sz w:val="32"/>
          <w:szCs w:val="32"/>
        </w:rPr>
        <w:t>万元，住房保障支出</w:t>
      </w:r>
      <w:r>
        <w:rPr>
          <w:rFonts w:ascii="仿宋_GB2312" w:hAnsi="宋体" w:eastAsia="仿宋_GB2312"/>
          <w:sz w:val="32"/>
          <w:szCs w:val="32"/>
        </w:rPr>
        <w:t>98</w:t>
      </w:r>
      <w:r>
        <w:rPr>
          <w:rFonts w:hint="eastAsia" w:ascii="仿宋_GB2312" w:hAnsi="宋体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</w:rPr>
        <w:t>支出较去年增加</w:t>
      </w:r>
      <w:r>
        <w:rPr>
          <w:rFonts w:ascii="仿宋_GB2312" w:eastAsia="仿宋_GB2312"/>
          <w:sz w:val="32"/>
          <w:szCs w:val="32"/>
        </w:rPr>
        <w:t>1097.6</w:t>
      </w:r>
      <w:r>
        <w:rPr>
          <w:rFonts w:hint="eastAsia" w:ascii="仿宋_GB2312" w:eastAsia="仿宋_GB2312"/>
          <w:sz w:val="32"/>
          <w:szCs w:val="32"/>
        </w:rPr>
        <w:t>万元，主要是公共安全支出增加1068.13万元，社会保障和就业支出减少27.02万元，卫生健康支出增加46.24万元，住房保障支出增加10.25万元。</w:t>
      </w:r>
    </w:p>
    <w:p>
      <w:pPr>
        <w:widowControl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</w:t>
      </w:r>
      <w:r>
        <w:rPr>
          <w:rFonts w:eastAsia="黑体"/>
          <w:sz w:val="32"/>
          <w:szCs w:val="32"/>
        </w:rPr>
        <w:t>一般公共预算拨款支出</w:t>
      </w:r>
    </w:p>
    <w:p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2021年本单位一般公共预算拨款支出预算</w:t>
      </w:r>
      <w:r>
        <w:rPr>
          <w:rFonts w:ascii="仿宋_GB2312" w:eastAsia="仿宋_GB2312"/>
          <w:sz w:val="32"/>
          <w:szCs w:val="32"/>
        </w:rPr>
        <w:t>2579.87</w:t>
      </w:r>
      <w:r>
        <w:rPr>
          <w:rFonts w:hint="eastAsia" w:ascii="仿宋_GB2312" w:eastAsia="仿宋_GB2312"/>
          <w:sz w:val="32"/>
          <w:szCs w:val="32"/>
        </w:rPr>
        <w:t>万元，其中，公共安全支出</w:t>
      </w:r>
      <w:r>
        <w:rPr>
          <w:rFonts w:ascii="仿宋_GB2312" w:eastAsia="仿宋_GB2312"/>
          <w:sz w:val="32"/>
          <w:szCs w:val="32"/>
        </w:rPr>
        <w:t>2329.51</w:t>
      </w:r>
      <w:r>
        <w:rPr>
          <w:rFonts w:hint="eastAsia" w:ascii="仿宋_GB2312" w:eastAsia="仿宋_GB2312"/>
          <w:sz w:val="32"/>
          <w:szCs w:val="32"/>
        </w:rPr>
        <w:t>万元，占90.3%；教育支出0万元，占0.00%；社会保障和就业支出</w:t>
      </w:r>
      <w:r>
        <w:rPr>
          <w:rFonts w:ascii="仿宋_GB2312" w:eastAsia="仿宋_GB2312"/>
          <w:sz w:val="32"/>
          <w:szCs w:val="32"/>
        </w:rPr>
        <w:t>72.72</w:t>
      </w:r>
      <w:r>
        <w:rPr>
          <w:rFonts w:hint="eastAsia" w:ascii="仿宋_GB2312" w:eastAsia="仿宋_GB2312"/>
          <w:sz w:val="32"/>
          <w:szCs w:val="32"/>
        </w:rPr>
        <w:t>万元，占2.82%；卫生健康支出</w:t>
      </w:r>
      <w:r>
        <w:rPr>
          <w:rFonts w:ascii="仿宋_GB2312" w:hAnsi="宋体" w:eastAsia="仿宋_GB2312"/>
          <w:sz w:val="32"/>
          <w:szCs w:val="32"/>
        </w:rPr>
        <w:t>79.64</w:t>
      </w:r>
      <w:r>
        <w:rPr>
          <w:rFonts w:hint="eastAsia" w:ascii="仿宋_GB2312" w:eastAsia="仿宋_GB2312"/>
          <w:sz w:val="32"/>
          <w:szCs w:val="32"/>
        </w:rPr>
        <w:t>万元，占3.08%；住房保障支出</w:t>
      </w:r>
      <w:r>
        <w:rPr>
          <w:rFonts w:ascii="仿宋_GB2312" w:hAnsi="宋体" w:eastAsia="仿宋_GB2312"/>
          <w:sz w:val="32"/>
          <w:szCs w:val="32"/>
        </w:rPr>
        <w:t>98</w:t>
      </w:r>
      <w:r>
        <w:rPr>
          <w:rFonts w:hint="eastAsia" w:ascii="仿宋_GB2312" w:eastAsia="仿宋_GB2312"/>
          <w:sz w:val="32"/>
          <w:szCs w:val="32"/>
        </w:rPr>
        <w:t>万元，占3.8%。具体安排情况如下：</w:t>
      </w:r>
    </w:p>
    <w:p>
      <w:pPr>
        <w:widowControl/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（一）基本支出：</w:t>
      </w:r>
      <w:r>
        <w:rPr>
          <w:rFonts w:hint="eastAsia" w:ascii="仿宋_GB2312" w:eastAsia="仿宋_GB2312"/>
          <w:sz w:val="32"/>
          <w:szCs w:val="32"/>
        </w:rPr>
        <w:t>2021年本部门基本支出预算数1483.47万元，主要是为保障单位正常运转、完成日常工作任务而发生的各项支出，包括用于基本工资、津贴补贴等人员经费以及办公费、印刷费、水电费、办公设备购置等公用经费。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（二）项目支出：</w:t>
      </w:r>
      <w:r>
        <w:rPr>
          <w:rFonts w:hint="eastAsia" w:ascii="仿宋_GB2312" w:eastAsia="仿宋_GB2312"/>
          <w:sz w:val="32"/>
          <w:szCs w:val="32"/>
        </w:rPr>
        <w:t>2021年本部门项目支出预算1096.4万元，主要是</w:t>
      </w:r>
      <w:r>
        <w:rPr>
          <w:rFonts w:hint="eastAsia" w:ascii="仿宋_GB2312" w:hAnsi="宋体" w:eastAsia="仿宋_GB2312"/>
          <w:sz w:val="32"/>
          <w:szCs w:val="32"/>
        </w:rPr>
        <w:t>部门为完成特定行政工作任务或事业发展目标而发生的支出，包括有关事业发展专项、专项业务费、基本建设支出等，其中：业务工作专项支出</w:t>
      </w:r>
      <w:r>
        <w:rPr>
          <w:rFonts w:hint="eastAsia" w:ascii="仿宋_GB2312" w:eastAsia="仿宋_GB2312"/>
          <w:bCs/>
          <w:sz w:val="32"/>
          <w:szCs w:val="32"/>
        </w:rPr>
        <w:t>196.5</w:t>
      </w:r>
      <w:r>
        <w:rPr>
          <w:rFonts w:hint="eastAsia" w:ascii="仿宋_GB2312" w:hAnsi="宋体" w:eastAsia="仿宋_GB2312"/>
          <w:sz w:val="32"/>
          <w:szCs w:val="32"/>
        </w:rPr>
        <w:t>万元，主要用于扶贫、办案设备购置、扫黑除恶工作经费等方面；其他事业发展资金899.9万元，主要用于基建项目资金方面。</w:t>
      </w:r>
    </w:p>
    <w:p>
      <w:p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四、政府性基金预算支出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2021年本部门无政府性基金安排的支出。</w:t>
      </w:r>
    </w:p>
    <w:p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、其他重要事项的情况说明</w:t>
      </w:r>
    </w:p>
    <w:p>
      <w:pPr>
        <w:widowControl/>
        <w:spacing w:line="600" w:lineRule="exact"/>
        <w:ind w:firstLine="642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（一）机关运行经费：</w:t>
      </w:r>
      <w:r>
        <w:rPr>
          <w:rFonts w:hint="eastAsia" w:ascii="仿宋_GB2312" w:hAnsi="宋体" w:eastAsia="仿宋_GB2312"/>
          <w:sz w:val="32"/>
          <w:szCs w:val="32"/>
        </w:rPr>
        <w:t>2021年本单位机关运行经费</w:t>
      </w:r>
      <w:r>
        <w:rPr>
          <w:rFonts w:ascii="仿宋_GB2312" w:hAnsi="宋体" w:eastAsia="仿宋_GB2312"/>
          <w:sz w:val="32"/>
          <w:szCs w:val="32"/>
        </w:rPr>
        <w:t>486.44</w:t>
      </w:r>
      <w:r>
        <w:rPr>
          <w:rFonts w:hint="eastAsia" w:ascii="仿宋_GB2312" w:hAnsi="宋体" w:eastAsia="仿宋_GB2312"/>
          <w:sz w:val="32"/>
          <w:szCs w:val="32"/>
        </w:rPr>
        <w:t>万元，比上年预算减少28.22</w:t>
      </w:r>
      <w:r>
        <w:rPr>
          <w:rFonts w:hint="eastAsia" w:ascii="仿宋_GB2312" w:eastAsia="仿宋_GB2312"/>
          <w:sz w:val="32"/>
          <w:szCs w:val="32"/>
        </w:rPr>
        <w:t>万元，下降5.8%，主要是按要求严格控制机关运行经费预算。</w:t>
      </w:r>
    </w:p>
    <w:p>
      <w:pPr>
        <w:widowControl/>
        <w:spacing w:line="600" w:lineRule="exact"/>
        <w:ind w:firstLine="642" w:firstLineChars="20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（二）“三公”经费预算：</w:t>
      </w:r>
      <w:r>
        <w:rPr>
          <w:rFonts w:hint="eastAsia" w:ascii="仿宋_GB2312" w:hAnsi="宋体" w:eastAsia="仿宋_GB2312"/>
          <w:sz w:val="32"/>
          <w:szCs w:val="32"/>
        </w:rPr>
        <w:t>2021年本单位</w:t>
      </w:r>
      <w:r>
        <w:rPr>
          <w:rFonts w:hint="eastAsia" w:ascii="仿宋_GB2312" w:eastAsia="仿宋_GB2312"/>
          <w:sz w:val="32"/>
          <w:szCs w:val="32"/>
        </w:rPr>
        <w:t>“三公”经费预算数为</w:t>
      </w:r>
      <w:r>
        <w:rPr>
          <w:rFonts w:ascii="仿宋_GB2312" w:eastAsia="仿宋_GB2312"/>
          <w:sz w:val="32"/>
          <w:szCs w:val="32"/>
        </w:rPr>
        <w:t>45</w:t>
      </w:r>
      <w:r>
        <w:rPr>
          <w:rFonts w:hint="eastAsia" w:ascii="仿宋_GB2312" w:eastAsia="仿宋_GB2312"/>
          <w:sz w:val="32"/>
          <w:szCs w:val="32"/>
        </w:rPr>
        <w:t>万元，其中，公务接待费20万元，公务用车购置及运行费25万元（其中，公务用车购置费0万元，公务用车运行费25万元），因公出国（境）费0万元。 2021年“三公”经费预算较上年减少27万元，主要是一方面厉行节约、严控“三公”经费预算开支，另一方面上年度本单位购置公车编制预算，本年度无公车购置需求，减少预算。</w:t>
      </w:r>
    </w:p>
    <w:p>
      <w:pPr>
        <w:ind w:firstLine="642" w:firstLineChars="200"/>
        <w:rPr>
          <w:rFonts w:hint="eastAsia" w:ascii="仿宋_GB2312" w:eastAsia="仿宋_GB2312"/>
          <w:b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（三）一般性支出情况：</w:t>
      </w:r>
      <w:r>
        <w:rPr>
          <w:rFonts w:hint="eastAsia" w:ascii="仿宋_GB2312" w:eastAsia="仿宋_GB2312"/>
          <w:sz w:val="32"/>
          <w:szCs w:val="32"/>
        </w:rPr>
        <w:t>2021年本单位会议费预算0万元，拟召开0次会议，人数0人。培训费预算0万元，拟开展0次培训，人数0人。</w:t>
      </w:r>
      <w:r>
        <w:rPr>
          <w:rFonts w:hint="eastAsia" w:ascii="仿宋_GB2312" w:eastAsia="仿宋_GB2312"/>
          <w:sz w:val="32"/>
          <w:szCs w:val="32"/>
          <w:lang w:eastAsia="zh-CN"/>
        </w:rPr>
        <w:t>无节庆、晚会、论坛、赛事等活动。</w:t>
      </w:r>
      <w:bookmarkStart w:id="0" w:name="_GoBack"/>
      <w:bookmarkEnd w:id="0"/>
    </w:p>
    <w:p>
      <w:pPr>
        <w:widowControl/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（四）政府采购情况：</w:t>
      </w: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hint="eastAsia" w:ascii="仿宋_GB2312" w:hAnsi="宋体" w:eastAsia="仿宋_GB2312"/>
          <w:sz w:val="32"/>
          <w:szCs w:val="32"/>
        </w:rPr>
        <w:t>本单位</w:t>
      </w:r>
      <w:r>
        <w:rPr>
          <w:rFonts w:hint="eastAsia" w:ascii="仿宋_GB2312" w:eastAsia="仿宋_GB2312"/>
          <w:sz w:val="32"/>
          <w:szCs w:val="32"/>
        </w:rPr>
        <w:t>政府采购预算总额 0万元，其中，</w:t>
      </w:r>
      <w:r>
        <w:rPr>
          <w:rFonts w:hint="eastAsia" w:ascii="仿宋_GB2312" w:hAnsi="宋体" w:eastAsia="仿宋_GB2312"/>
          <w:sz w:val="32"/>
          <w:szCs w:val="32"/>
        </w:rPr>
        <w:t>政府采购货物预算0</w:t>
      </w:r>
      <w:r>
        <w:rPr>
          <w:rFonts w:hint="eastAsia" w:ascii="仿宋_GB2312" w:eastAsia="仿宋_GB2312"/>
          <w:sz w:val="32"/>
          <w:szCs w:val="32"/>
        </w:rPr>
        <w:t>万元；</w:t>
      </w:r>
      <w:r>
        <w:rPr>
          <w:rFonts w:hint="eastAsia" w:ascii="仿宋_GB2312" w:hAnsi="宋体" w:eastAsia="仿宋_GB2312"/>
          <w:sz w:val="32"/>
          <w:szCs w:val="32"/>
        </w:rPr>
        <w:t>政府采购服务预算0</w:t>
      </w:r>
      <w:r>
        <w:rPr>
          <w:rFonts w:hint="eastAsia" w:ascii="仿宋_GB2312" w:eastAsia="仿宋_GB2312"/>
          <w:sz w:val="32"/>
          <w:szCs w:val="32"/>
        </w:rPr>
        <w:t>万元；工程采购预算0万元。</w:t>
      </w:r>
    </w:p>
    <w:p>
      <w:pPr>
        <w:widowControl/>
        <w:spacing w:line="600" w:lineRule="atLeast"/>
        <w:ind w:firstLine="661" w:firstLineChars="206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（五）国有资产占用使用及新增资产配置情况：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截至2020年12月底，本单位共有公务用车6辆，其中，机要通信用车0辆，应急保障用车0辆，执法执勤用车6辆，特种专业技术用车0辆，其他按照规定配备的公务用车0辆。单位价值50万元以上通用设备0台，单位价值100万元以上专用设备0台。2021年拟新增配置公务用车0辆，其中机要通信用车0辆，应急保障用车0辆，执法执勤用车0辆，特种专业技术用车0辆，其他按照规定配备的公务用车0辆。新增配备单位价值50万元以上通用设备0台，单位价值100万元以上专用设备0台。</w:t>
      </w:r>
    </w:p>
    <w:p>
      <w:pPr>
        <w:widowControl/>
        <w:spacing w:line="600" w:lineRule="atLeast"/>
        <w:ind w:firstLine="661" w:firstLineChars="206"/>
        <w:jc w:val="left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（六）预算绩效目标说明：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本单位所有支出实行绩效目标管理。纳入2021年单位整体支出绩效目标的金额为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1511.47万元，其中，基本支出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1483.47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万元，项目支出28万元，具体绩效目标详见报表。</w:t>
      </w:r>
    </w:p>
    <w:p>
      <w:pPr>
        <w:widowControl/>
        <w:spacing w:line="600" w:lineRule="atLeast"/>
        <w:ind w:firstLine="661" w:firstLineChars="20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（七）其他问题说明：</w:t>
      </w:r>
      <w:r>
        <w:rPr>
          <w:rFonts w:hint="eastAsia" w:ascii="仿宋_GB2312" w:eastAsia="仿宋_GB2312"/>
          <w:sz w:val="32"/>
          <w:szCs w:val="32"/>
        </w:rPr>
        <w:t>2021年桃源县人民检察院无政府性基金预算支出、国有资本经营预算支出、财政专户管理资金预算支出和省级专项资金预算，所以表15、16、17、18、19、20、21无数据。</w:t>
      </w:r>
    </w:p>
    <w:p>
      <w:pPr>
        <w:widowControl/>
        <w:numPr>
          <w:ilvl w:val="0"/>
          <w:numId w:val="1"/>
        </w:numPr>
        <w:spacing w:line="600" w:lineRule="atLeast"/>
        <w:ind w:left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名词解释</w:t>
      </w:r>
    </w:p>
    <w:p>
      <w:pPr>
        <w:widowControl/>
        <w:spacing w:line="60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支出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7398A"/>
    <w:multiLevelType w:val="singleLevel"/>
    <w:tmpl w:val="EA17398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37403"/>
    <w:rsid w:val="00172A27"/>
    <w:rsid w:val="002347E8"/>
    <w:rsid w:val="002958D4"/>
    <w:rsid w:val="00297D4B"/>
    <w:rsid w:val="0030203D"/>
    <w:rsid w:val="00456AB3"/>
    <w:rsid w:val="00482534"/>
    <w:rsid w:val="00657FDA"/>
    <w:rsid w:val="006607C7"/>
    <w:rsid w:val="00696AD2"/>
    <w:rsid w:val="006C018D"/>
    <w:rsid w:val="00711274"/>
    <w:rsid w:val="007C63C0"/>
    <w:rsid w:val="008B7300"/>
    <w:rsid w:val="00B34AC3"/>
    <w:rsid w:val="00C30100"/>
    <w:rsid w:val="00C46464"/>
    <w:rsid w:val="00D330F7"/>
    <w:rsid w:val="00DE28DD"/>
    <w:rsid w:val="00E668B1"/>
    <w:rsid w:val="00EE0689"/>
    <w:rsid w:val="00F10E6B"/>
    <w:rsid w:val="00F27071"/>
    <w:rsid w:val="00F82524"/>
    <w:rsid w:val="03195788"/>
    <w:rsid w:val="04004C1C"/>
    <w:rsid w:val="05510DB5"/>
    <w:rsid w:val="05A5559C"/>
    <w:rsid w:val="068B4503"/>
    <w:rsid w:val="084B35B4"/>
    <w:rsid w:val="09445574"/>
    <w:rsid w:val="0A47328F"/>
    <w:rsid w:val="0BBF3EFE"/>
    <w:rsid w:val="0C6B1FA9"/>
    <w:rsid w:val="0F715ECE"/>
    <w:rsid w:val="115B2180"/>
    <w:rsid w:val="14075EAB"/>
    <w:rsid w:val="147A65BA"/>
    <w:rsid w:val="14F90C5B"/>
    <w:rsid w:val="15D41360"/>
    <w:rsid w:val="18BF29CD"/>
    <w:rsid w:val="19B80874"/>
    <w:rsid w:val="1A935EAF"/>
    <w:rsid w:val="1B0845EE"/>
    <w:rsid w:val="1C083AA3"/>
    <w:rsid w:val="1C613C7E"/>
    <w:rsid w:val="1C743A19"/>
    <w:rsid w:val="1F061311"/>
    <w:rsid w:val="1F6B19C0"/>
    <w:rsid w:val="229D5692"/>
    <w:rsid w:val="23356AAB"/>
    <w:rsid w:val="248D4246"/>
    <w:rsid w:val="25E628C8"/>
    <w:rsid w:val="26E77D47"/>
    <w:rsid w:val="289533C2"/>
    <w:rsid w:val="28F37C87"/>
    <w:rsid w:val="29FF3EEA"/>
    <w:rsid w:val="2CFA58F7"/>
    <w:rsid w:val="2EED57D2"/>
    <w:rsid w:val="314A57BE"/>
    <w:rsid w:val="32CF230F"/>
    <w:rsid w:val="32FA0641"/>
    <w:rsid w:val="36BE28F0"/>
    <w:rsid w:val="38FF2ADB"/>
    <w:rsid w:val="392E6064"/>
    <w:rsid w:val="397FAE9F"/>
    <w:rsid w:val="3BC1506C"/>
    <w:rsid w:val="3D9F0761"/>
    <w:rsid w:val="3EE31532"/>
    <w:rsid w:val="42173DE8"/>
    <w:rsid w:val="43ED3B22"/>
    <w:rsid w:val="44D14273"/>
    <w:rsid w:val="45F004A7"/>
    <w:rsid w:val="4934562B"/>
    <w:rsid w:val="4B22539B"/>
    <w:rsid w:val="4BAB38AE"/>
    <w:rsid w:val="4C7A278B"/>
    <w:rsid w:val="4C8224DA"/>
    <w:rsid w:val="4D2D16B8"/>
    <w:rsid w:val="509A7651"/>
    <w:rsid w:val="50ED097F"/>
    <w:rsid w:val="50FB768A"/>
    <w:rsid w:val="52746B57"/>
    <w:rsid w:val="54A015B3"/>
    <w:rsid w:val="54DB7619"/>
    <w:rsid w:val="56436FA5"/>
    <w:rsid w:val="5F990B96"/>
    <w:rsid w:val="621B5236"/>
    <w:rsid w:val="64954CB0"/>
    <w:rsid w:val="649B58C1"/>
    <w:rsid w:val="6721095D"/>
    <w:rsid w:val="69DF7D29"/>
    <w:rsid w:val="69F85069"/>
    <w:rsid w:val="6B7A0C3E"/>
    <w:rsid w:val="720F41BC"/>
    <w:rsid w:val="72453D3F"/>
    <w:rsid w:val="726E7AF1"/>
    <w:rsid w:val="74F13AA4"/>
    <w:rsid w:val="76354832"/>
    <w:rsid w:val="770C691F"/>
    <w:rsid w:val="77E75703"/>
    <w:rsid w:val="783E70C2"/>
    <w:rsid w:val="7C8D4D1E"/>
    <w:rsid w:val="7D1A7378"/>
    <w:rsid w:val="7D6F0198"/>
    <w:rsid w:val="7DE20E60"/>
    <w:rsid w:val="7DF91CDD"/>
    <w:rsid w:val="BE7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8"/>
    <w:qFormat/>
    <w:uiPriority w:val="0"/>
    <w:rPr>
      <w:sz w:val="18"/>
      <w:szCs w:val="18"/>
    </w:rPr>
  </w:style>
  <w:style w:type="paragraph" w:styleId="3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555555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qFormat/>
    <w:uiPriority w:val="0"/>
  </w:style>
  <w:style w:type="character" w:styleId="13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7"/>
    <w:qFormat/>
    <w:uiPriority w:val="0"/>
  </w:style>
  <w:style w:type="character" w:styleId="15">
    <w:name w:val="HTML Variable"/>
    <w:basedOn w:val="7"/>
    <w:qFormat/>
    <w:uiPriority w:val="0"/>
  </w:style>
  <w:style w:type="character" w:styleId="16">
    <w:name w:val="Hyperlink"/>
    <w:basedOn w:val="7"/>
    <w:qFormat/>
    <w:uiPriority w:val="0"/>
    <w:rPr>
      <w:color w:val="555555"/>
      <w:u w:val="none"/>
    </w:rPr>
  </w:style>
  <w:style w:type="character" w:styleId="17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7"/>
    <w:qFormat/>
    <w:uiPriority w:val="0"/>
    <w:rPr>
      <w:color w:val="FF0000"/>
      <w:u w:val="single"/>
    </w:rPr>
  </w:style>
  <w:style w:type="character" w:styleId="19">
    <w:name w:val="HTML Keyboard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character" w:customStyle="1" w:styleId="21">
    <w:name w:val="bds_more2"/>
    <w:basedOn w:val="7"/>
    <w:qFormat/>
    <w:uiPriority w:val="0"/>
  </w:style>
  <w:style w:type="character" w:customStyle="1" w:styleId="22">
    <w:name w:val="bds_more1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3">
    <w:name w:val="right5"/>
    <w:basedOn w:val="7"/>
    <w:qFormat/>
    <w:uiPriority w:val="0"/>
  </w:style>
  <w:style w:type="character" w:customStyle="1" w:styleId="24">
    <w:name w:val="right6"/>
    <w:basedOn w:val="7"/>
    <w:qFormat/>
    <w:uiPriority w:val="0"/>
  </w:style>
  <w:style w:type="character" w:customStyle="1" w:styleId="25">
    <w:name w:val="bds_nopic2"/>
    <w:basedOn w:val="7"/>
    <w:qFormat/>
    <w:uiPriority w:val="0"/>
  </w:style>
  <w:style w:type="character" w:customStyle="1" w:styleId="26">
    <w:name w:val="bds_nopic1"/>
    <w:basedOn w:val="7"/>
    <w:qFormat/>
    <w:uiPriority w:val="0"/>
  </w:style>
  <w:style w:type="character" w:customStyle="1" w:styleId="27">
    <w:name w:val="retractmanager"/>
    <w:basedOn w:val="7"/>
    <w:qFormat/>
    <w:uiPriority w:val="0"/>
    <w:rPr>
      <w:color w:val="FF002A"/>
    </w:rPr>
  </w:style>
  <w:style w:type="character" w:customStyle="1" w:styleId="2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29">
    <w:name w:val="bds_more"/>
    <w:basedOn w:val="7"/>
    <w:qFormat/>
    <w:uiPriority w:val="0"/>
  </w:style>
  <w:style w:type="character" w:customStyle="1" w:styleId="30">
    <w:name w:val="displaycontent"/>
    <w:basedOn w:val="7"/>
    <w:qFormat/>
    <w:uiPriority w:val="0"/>
    <w:rPr>
      <w:color w:val="FF002A"/>
    </w:rPr>
  </w:style>
  <w:style w:type="character" w:customStyle="1" w:styleId="31">
    <w:name w:val="bds_nopic"/>
    <w:basedOn w:val="7"/>
    <w:qFormat/>
    <w:uiPriority w:val="0"/>
  </w:style>
  <w:style w:type="character" w:customStyle="1" w:styleId="32">
    <w:name w:val="mk5_wzstyle"/>
    <w:basedOn w:val="7"/>
    <w:qFormat/>
    <w:uiPriority w:val="0"/>
  </w:style>
  <w:style w:type="character" w:customStyle="1" w:styleId="33">
    <w:name w:val="hover17"/>
    <w:basedOn w:val="7"/>
    <w:qFormat/>
    <w:uiPriority w:val="0"/>
  </w:style>
  <w:style w:type="character" w:customStyle="1" w:styleId="34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35">
    <w:name w:val="size"/>
    <w:basedOn w:val="7"/>
    <w:qFormat/>
    <w:uiPriority w:val="0"/>
  </w:style>
  <w:style w:type="character" w:customStyle="1" w:styleId="36">
    <w:name w:val="p12_blue"/>
    <w:basedOn w:val="7"/>
    <w:qFormat/>
    <w:uiPriority w:val="0"/>
  </w:style>
  <w:style w:type="character" w:customStyle="1" w:styleId="37">
    <w:name w:val="bsharetext"/>
    <w:basedOn w:val="7"/>
    <w:qFormat/>
    <w:uiPriority w:val="0"/>
  </w:style>
  <w:style w:type="character" w:customStyle="1" w:styleId="38">
    <w:name w:val="页脚 Char"/>
    <w:link w:val="3"/>
    <w:qFormat/>
    <w:uiPriority w:val="0"/>
    <w:rPr>
      <w:kern w:val="2"/>
      <w:sz w:val="18"/>
      <w:szCs w:val="18"/>
    </w:rPr>
  </w:style>
  <w:style w:type="paragraph" w:customStyle="1" w:styleId="39">
    <w:name w:val="普通(网站)1"/>
    <w:basedOn w:val="1"/>
    <w:qFormat/>
    <w:uiPriority w:val="0"/>
    <w:pPr>
      <w:jc w:val="left"/>
    </w:pPr>
    <w:rPr>
      <w:rFonts w:hint="eastAsia"/>
      <w:sz w:val="24"/>
    </w:rPr>
  </w:style>
  <w:style w:type="paragraph" w:customStyle="1" w:styleId="40">
    <w:name w:val="Char"/>
    <w:basedOn w:val="1"/>
    <w:qFormat/>
    <w:uiPriority w:val="0"/>
    <w:pPr>
      <w:widowControl/>
      <w:spacing w:line="360" w:lineRule="auto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431</Words>
  <Characters>2463</Characters>
  <Lines>20</Lines>
  <Paragraphs>5</Paragraphs>
  <TotalTime>46</TotalTime>
  <ScaleCrop>false</ScaleCrop>
  <LinksUpToDate>false</LinksUpToDate>
  <CharactersWithSpaces>2889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2021-03-08T18:17:00Z</dcterms:created>
  <dc:creator>高立朝 10.104.97.45</dc:creator>
  <cp:lastModifiedBy>greatwall</cp:lastModifiedBy>
  <cp:lastPrinted>2021-03-07T17:56:00Z</cp:lastPrinted>
  <dcterms:modified xsi:type="dcterms:W3CDTF">2022-09-23T17:53:17Z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